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F0" w:rsidRPr="00823EF0" w:rsidRDefault="00503FE0" w:rsidP="007716A0">
      <w:pPr>
        <w:spacing w:line="360" w:lineRule="auto"/>
        <w:jc w:val="center"/>
        <w:rPr>
          <w:b/>
          <w:sz w:val="40"/>
          <w:szCs w:val="40"/>
        </w:rPr>
      </w:pPr>
      <w:r>
        <w:rPr>
          <w:b/>
          <w:sz w:val="40"/>
          <w:szCs w:val="40"/>
        </w:rPr>
        <w:t>K1T81</w:t>
      </w:r>
      <w:r w:rsidR="00CB1DFB">
        <w:rPr>
          <w:b/>
          <w:sz w:val="40"/>
          <w:szCs w:val="40"/>
        </w:rPr>
        <w:t>05</w:t>
      </w:r>
      <w:r w:rsidR="00823EF0" w:rsidRPr="00823EF0">
        <w:rPr>
          <w:b/>
          <w:sz w:val="40"/>
          <w:szCs w:val="40"/>
        </w:rPr>
        <w:t xml:space="preserve"> 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503FE0">
        <w:rPr>
          <w:b/>
          <w:sz w:val="40"/>
          <w:szCs w:val="40"/>
        </w:rPr>
        <w:t>2018-08-17</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7716A0" w:rsidRPr="00823EF0" w:rsidTr="00F11E90">
        <w:trPr>
          <w:trHeight w:val="983"/>
        </w:trPr>
        <w:tc>
          <w:tcPr>
            <w:tcW w:w="1696" w:type="dxa"/>
            <w:vMerge w:val="restart"/>
            <w:vAlign w:val="center"/>
          </w:tcPr>
          <w:p w:rsidR="007716A0" w:rsidRPr="00823EF0" w:rsidRDefault="007716A0" w:rsidP="00EF4089">
            <w:pPr>
              <w:rPr>
                <w:b/>
                <w:sz w:val="22"/>
              </w:rPr>
            </w:pPr>
            <w:r w:rsidRPr="00823EF0">
              <w:rPr>
                <w:b/>
                <w:sz w:val="22"/>
              </w:rPr>
              <w:t>Device Model:</w:t>
            </w:r>
          </w:p>
          <w:p w:rsidR="00485872" w:rsidRPr="00823EF0" w:rsidRDefault="00503FE0" w:rsidP="00EF4089">
            <w:r>
              <w:rPr>
                <w:color w:val="000000"/>
                <w:sz w:val="20"/>
                <w:szCs w:val="20"/>
              </w:rPr>
              <w:t>DS-K1T8105E</w:t>
            </w:r>
            <w:r>
              <w:rPr>
                <w:color w:val="000000"/>
                <w:sz w:val="20"/>
                <w:szCs w:val="20"/>
              </w:rPr>
              <w:br/>
              <w:t>DS-K1T8105</w:t>
            </w:r>
            <w:r>
              <w:rPr>
                <w:rFonts w:hint="eastAsia"/>
                <w:color w:val="000000"/>
                <w:sz w:val="20"/>
                <w:szCs w:val="20"/>
              </w:rPr>
              <w:t>M</w:t>
            </w:r>
          </w:p>
        </w:tc>
        <w:tc>
          <w:tcPr>
            <w:tcW w:w="1843" w:type="dxa"/>
            <w:vAlign w:val="center"/>
          </w:tcPr>
          <w:p w:rsidR="007716A0" w:rsidRPr="00823EF0" w:rsidRDefault="007716A0" w:rsidP="00EF4089">
            <w:pPr>
              <w:jc w:val="center"/>
            </w:pPr>
            <w:r w:rsidRPr="00823EF0">
              <w:t>Firmware Version</w:t>
            </w:r>
          </w:p>
        </w:tc>
        <w:tc>
          <w:tcPr>
            <w:tcW w:w="6095" w:type="dxa"/>
            <w:vAlign w:val="center"/>
          </w:tcPr>
          <w:p w:rsidR="007716A0" w:rsidRPr="00823EF0" w:rsidRDefault="007716A0" w:rsidP="00820D85">
            <w:r w:rsidRPr="00823EF0">
              <w:t>ARM:</w:t>
            </w:r>
            <w:r w:rsidR="00503FE0" w:rsidRPr="00CC38CE">
              <w:t xml:space="preserve"> ACS_8</w:t>
            </w:r>
            <w:r w:rsidR="00503FE0">
              <w:t>105_EN_GM_V1.0.0_build180817</w:t>
            </w:r>
          </w:p>
          <w:p w:rsidR="007716A0" w:rsidRPr="00823EF0" w:rsidRDefault="007716A0" w:rsidP="00820D85">
            <w:r w:rsidRPr="00823EF0">
              <w:t>MCU:</w:t>
            </w:r>
            <w:r w:rsidR="00173F88" w:rsidRPr="009E1680">
              <w:t xml:space="preserve"> ACS_MCU-TRIANGLE_GML_GM_V1.0.0_build180525</w:t>
            </w:r>
          </w:p>
        </w:tc>
      </w:tr>
      <w:tr w:rsidR="00820D85" w:rsidRPr="00823EF0" w:rsidTr="00F11E90">
        <w:trPr>
          <w:trHeight w:val="775"/>
        </w:trPr>
        <w:tc>
          <w:tcPr>
            <w:tcW w:w="1696" w:type="dxa"/>
            <w:vMerge/>
          </w:tcPr>
          <w:p w:rsidR="00820D85" w:rsidRPr="00823EF0" w:rsidRDefault="00820D85" w:rsidP="00D87D8C"/>
        </w:tc>
        <w:tc>
          <w:tcPr>
            <w:tcW w:w="1843" w:type="dxa"/>
            <w:vAlign w:val="center"/>
          </w:tcPr>
          <w:p w:rsidR="00820D85" w:rsidRDefault="00820D85" w:rsidP="00EF4089">
            <w:pPr>
              <w:jc w:val="center"/>
            </w:pPr>
            <w:r>
              <w:rPr>
                <w:rFonts w:hint="eastAsia"/>
              </w:rPr>
              <w:t>SDK</w:t>
            </w:r>
          </w:p>
        </w:tc>
        <w:tc>
          <w:tcPr>
            <w:tcW w:w="6095" w:type="dxa"/>
            <w:vAlign w:val="center"/>
          </w:tcPr>
          <w:p w:rsidR="00820D85" w:rsidRDefault="00820D85" w:rsidP="00820D85">
            <w:pPr>
              <w:jc w:val="left"/>
            </w:pPr>
            <w:r w:rsidRPr="00CC38CE">
              <w:t>HCNetSDKV5.3.5.40_build20180417_win32</w:t>
            </w:r>
          </w:p>
          <w:p w:rsidR="00820D85" w:rsidRDefault="00820D85" w:rsidP="00820D85">
            <w:r>
              <w:t>EhomeSDK_V1.2.1.5_build20171101</w:t>
            </w:r>
          </w:p>
        </w:tc>
      </w:tr>
      <w:tr w:rsidR="007716A0" w:rsidRPr="00823EF0" w:rsidTr="00F11E90">
        <w:trPr>
          <w:trHeight w:val="775"/>
        </w:trPr>
        <w:tc>
          <w:tcPr>
            <w:tcW w:w="1696" w:type="dxa"/>
            <w:vMerge/>
          </w:tcPr>
          <w:p w:rsidR="007716A0" w:rsidRPr="00823EF0" w:rsidRDefault="007716A0" w:rsidP="00D87D8C"/>
        </w:tc>
        <w:tc>
          <w:tcPr>
            <w:tcW w:w="1843"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6095" w:type="dxa"/>
            <w:vAlign w:val="center"/>
          </w:tcPr>
          <w:p w:rsidR="007716A0" w:rsidRPr="00823EF0" w:rsidRDefault="00A43395" w:rsidP="00820D85">
            <w:r>
              <w:t>V2.6.8.10 build20180522</w:t>
            </w:r>
          </w:p>
        </w:tc>
      </w:tr>
    </w:tbl>
    <w:p w:rsidR="004F323B" w:rsidRDefault="004F323B" w:rsidP="004F323B">
      <w:pPr>
        <w:jc w:val="center"/>
        <w:rPr>
          <w:b/>
          <w:sz w:val="24"/>
          <w:szCs w:val="24"/>
        </w:rPr>
      </w:pPr>
    </w:p>
    <w:p w:rsidR="007716A0" w:rsidRPr="00823EF0" w:rsidRDefault="007716A0" w:rsidP="007716A0">
      <w:pPr>
        <w:rPr>
          <w:b/>
          <w:sz w:val="24"/>
          <w:szCs w:val="24"/>
          <w:u w:val="single"/>
        </w:rPr>
      </w:pPr>
    </w:p>
    <w:p w:rsidR="00293A71" w:rsidRPr="00823EF0" w:rsidRDefault="00293A71" w:rsidP="00293A71">
      <w:pPr>
        <w:rPr>
          <w:b/>
          <w:sz w:val="32"/>
          <w:szCs w:val="32"/>
        </w:rPr>
      </w:pPr>
      <w:r w:rsidRPr="00823EF0">
        <w:rPr>
          <w:b/>
          <w:sz w:val="24"/>
          <w:szCs w:val="24"/>
          <w:u w:val="single"/>
        </w:rPr>
        <w:t>Reason of Upgrade</w:t>
      </w:r>
    </w:p>
    <w:p w:rsidR="00293A71" w:rsidRPr="00823EF0" w:rsidRDefault="00C87F87" w:rsidP="00293A71">
      <w:pPr>
        <w:spacing w:line="360" w:lineRule="auto"/>
        <w:jc w:val="left"/>
      </w:pPr>
      <w:r>
        <w:rPr>
          <w:sz w:val="22"/>
        </w:rPr>
        <w:t>N</w:t>
      </w:r>
      <w:r>
        <w:rPr>
          <w:rFonts w:hint="eastAsia"/>
          <w:sz w:val="22"/>
        </w:rPr>
        <w:t>ew model DS-K1T8105E and DS-K1T8105M released.</w:t>
      </w:r>
    </w:p>
    <w:p w:rsidR="007716A0" w:rsidRPr="00823EF0" w:rsidRDefault="007716A0" w:rsidP="007716A0"/>
    <w:p w:rsidR="007716A0" w:rsidRDefault="007716A0" w:rsidP="007716A0">
      <w:pPr>
        <w:rPr>
          <w:b/>
          <w:sz w:val="24"/>
          <w:szCs w:val="24"/>
          <w:u w:val="single"/>
        </w:rPr>
      </w:pPr>
      <w:r w:rsidRPr="00823EF0">
        <w:rPr>
          <w:b/>
          <w:sz w:val="24"/>
          <w:szCs w:val="24"/>
          <w:u w:val="single"/>
        </w:rPr>
        <w:t>Modified Features</w:t>
      </w:r>
    </w:p>
    <w:p w:rsidR="00BF0D0D" w:rsidRDefault="00BF0D0D" w:rsidP="00BF0D0D">
      <w:pPr>
        <w:pStyle w:val="a9"/>
        <w:numPr>
          <w:ilvl w:val="0"/>
          <w:numId w:val="5"/>
        </w:numPr>
        <w:ind w:firstLineChars="0"/>
        <w:rPr>
          <w:sz w:val="22"/>
        </w:rPr>
      </w:pPr>
      <w:r>
        <w:rPr>
          <w:sz w:val="22"/>
        </w:rPr>
        <w:t>Card capacity: 1</w:t>
      </w:r>
      <w:r>
        <w:rPr>
          <w:rFonts w:hint="eastAsia"/>
          <w:sz w:val="22"/>
        </w:rPr>
        <w:t>,</w:t>
      </w:r>
      <w:r>
        <w:rPr>
          <w:sz w:val="22"/>
        </w:rPr>
        <w:t>000;  Face capacity: 1,000;  Event Capacity: 50,000;</w:t>
      </w:r>
    </w:p>
    <w:p w:rsidR="00BF0D0D" w:rsidRDefault="00BF0D0D" w:rsidP="00BF0D0D">
      <w:pPr>
        <w:rPr>
          <w:sz w:val="22"/>
        </w:rPr>
      </w:pPr>
      <w:r>
        <w:rPr>
          <w:noProof/>
        </w:rPr>
        <w:drawing>
          <wp:inline distT="0" distB="0" distL="0" distR="0" wp14:anchorId="6DC8EE0C" wp14:editId="50612317">
            <wp:extent cx="3829897" cy="2124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48233" cy="2134244"/>
                    </a:xfrm>
                    <a:prstGeom prst="rect">
                      <a:avLst/>
                    </a:prstGeom>
                  </pic:spPr>
                </pic:pic>
              </a:graphicData>
            </a:graphic>
          </wp:inline>
        </w:drawing>
      </w:r>
    </w:p>
    <w:p w:rsidR="00BF0D0D" w:rsidRPr="00823EF0" w:rsidRDefault="00BF0D0D" w:rsidP="007716A0">
      <w:pPr>
        <w:rPr>
          <w:b/>
          <w:sz w:val="24"/>
          <w:szCs w:val="24"/>
          <w:u w:val="single"/>
        </w:rPr>
      </w:pPr>
    </w:p>
    <w:p w:rsidR="009A1763" w:rsidRDefault="00C87F87" w:rsidP="00E21921">
      <w:pPr>
        <w:pStyle w:val="a9"/>
        <w:numPr>
          <w:ilvl w:val="0"/>
          <w:numId w:val="5"/>
        </w:numPr>
        <w:ind w:firstLineChars="0"/>
        <w:rPr>
          <w:sz w:val="22"/>
        </w:rPr>
      </w:pPr>
      <w:r>
        <w:rPr>
          <w:sz w:val="22"/>
        </w:rPr>
        <w:t xml:space="preserve">Support </w:t>
      </w:r>
      <w:proofErr w:type="spellStart"/>
      <w:r>
        <w:rPr>
          <w:sz w:val="22"/>
        </w:rPr>
        <w:t>wiegand</w:t>
      </w:r>
      <w:proofErr w:type="spellEnd"/>
      <w:r>
        <w:rPr>
          <w:sz w:val="22"/>
        </w:rPr>
        <w:t xml:space="preserve"> 26/34 input and output</w:t>
      </w:r>
      <w:r w:rsidR="00010A91">
        <w:rPr>
          <w:sz w:val="22"/>
        </w:rPr>
        <w:t>;</w:t>
      </w:r>
    </w:p>
    <w:p w:rsidR="00100C76" w:rsidRPr="00100C76" w:rsidRDefault="00100C76" w:rsidP="00100C76">
      <w:pPr>
        <w:rPr>
          <w:rFonts w:hint="eastAsia"/>
          <w:sz w:val="22"/>
        </w:rPr>
      </w:pPr>
      <w:r>
        <w:rPr>
          <w:noProof/>
        </w:rPr>
        <w:drawing>
          <wp:inline distT="0" distB="0" distL="0" distR="0" wp14:anchorId="4CDB3FA3" wp14:editId="44B6F120">
            <wp:extent cx="3729820" cy="190500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9712" cy="1925375"/>
                    </a:xfrm>
                    <a:prstGeom prst="rect">
                      <a:avLst/>
                    </a:prstGeom>
                  </pic:spPr>
                </pic:pic>
              </a:graphicData>
            </a:graphic>
          </wp:inline>
        </w:drawing>
      </w:r>
    </w:p>
    <w:p w:rsidR="00100C76" w:rsidRDefault="00AA2C84" w:rsidP="002358F2">
      <w:pPr>
        <w:pStyle w:val="a9"/>
        <w:numPr>
          <w:ilvl w:val="0"/>
          <w:numId w:val="5"/>
        </w:numPr>
        <w:ind w:firstLineChars="0"/>
        <w:rPr>
          <w:sz w:val="22"/>
        </w:rPr>
      </w:pPr>
      <w:r>
        <w:rPr>
          <w:sz w:val="22"/>
        </w:rPr>
        <w:lastRenderedPageBreak/>
        <w:t xml:space="preserve">RS485 interface </w:t>
      </w:r>
      <w:r>
        <w:rPr>
          <w:rFonts w:hint="eastAsia"/>
          <w:sz w:val="22"/>
        </w:rPr>
        <w:t>support</w:t>
      </w:r>
      <w:r>
        <w:rPr>
          <w:sz w:val="22"/>
        </w:rPr>
        <w:t>s</w:t>
      </w:r>
      <w:r>
        <w:rPr>
          <w:rFonts w:hint="eastAsia"/>
          <w:sz w:val="22"/>
        </w:rPr>
        <w:t xml:space="preserve"> security module</w:t>
      </w:r>
      <w:r w:rsidR="00102CAD">
        <w:rPr>
          <w:sz w:val="22"/>
        </w:rPr>
        <w:t xml:space="preserve"> only, not support connecting RS485 reader or output card number</w:t>
      </w:r>
      <w:r>
        <w:rPr>
          <w:sz w:val="22"/>
        </w:rPr>
        <w:t>;</w:t>
      </w:r>
    </w:p>
    <w:p w:rsidR="00100C76" w:rsidRDefault="00100C76" w:rsidP="00100C76">
      <w:pPr>
        <w:rPr>
          <w:sz w:val="22"/>
        </w:rPr>
      </w:pPr>
      <w:r>
        <w:rPr>
          <w:noProof/>
        </w:rPr>
        <w:drawing>
          <wp:inline distT="0" distB="0" distL="0" distR="0" wp14:anchorId="1EB8D4BC" wp14:editId="4F452AB5">
            <wp:extent cx="4739531" cy="260985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2956" cy="2628256"/>
                    </a:xfrm>
                    <a:prstGeom prst="rect">
                      <a:avLst/>
                    </a:prstGeom>
                  </pic:spPr>
                </pic:pic>
              </a:graphicData>
            </a:graphic>
          </wp:inline>
        </w:drawing>
      </w:r>
    </w:p>
    <w:p w:rsidR="00100C76" w:rsidRPr="00100C76" w:rsidRDefault="00100C76" w:rsidP="00100C76">
      <w:pPr>
        <w:rPr>
          <w:sz w:val="22"/>
        </w:rPr>
      </w:pPr>
      <w:r>
        <w:rPr>
          <w:sz w:val="22"/>
        </w:rPr>
        <w:t>In 4200 client software, we can select security module or disable.</w:t>
      </w:r>
    </w:p>
    <w:p w:rsidR="002358F2" w:rsidRPr="002358F2" w:rsidRDefault="002358F2" w:rsidP="002358F2">
      <w:pPr>
        <w:rPr>
          <w:sz w:val="22"/>
        </w:rPr>
      </w:pPr>
      <w:r>
        <w:rPr>
          <w:noProof/>
        </w:rPr>
        <w:drawing>
          <wp:inline distT="0" distB="0" distL="0" distR="0" wp14:anchorId="1043C5F5" wp14:editId="130E0F44">
            <wp:extent cx="5495534" cy="40100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6491" cy="4039911"/>
                    </a:xfrm>
                    <a:prstGeom prst="rect">
                      <a:avLst/>
                    </a:prstGeom>
                  </pic:spPr>
                </pic:pic>
              </a:graphicData>
            </a:graphic>
          </wp:inline>
        </w:drawing>
      </w:r>
    </w:p>
    <w:p w:rsidR="002358F2" w:rsidRPr="00263066" w:rsidRDefault="002358F2" w:rsidP="00263066">
      <w:pPr>
        <w:rPr>
          <w:sz w:val="22"/>
        </w:rPr>
      </w:pPr>
    </w:p>
    <w:p w:rsidR="00BF0D0D" w:rsidRPr="00BF0D0D" w:rsidRDefault="00BF0D0D" w:rsidP="00BF0D0D">
      <w:pPr>
        <w:pStyle w:val="a9"/>
        <w:numPr>
          <w:ilvl w:val="0"/>
          <w:numId w:val="5"/>
        </w:numPr>
        <w:ind w:firstLineChars="0"/>
        <w:rPr>
          <w:rFonts w:hint="eastAsia"/>
          <w:sz w:val="22"/>
        </w:rPr>
      </w:pPr>
      <w:r>
        <w:rPr>
          <w:sz w:val="22"/>
        </w:rPr>
        <w:t>S</w:t>
      </w:r>
      <w:r>
        <w:rPr>
          <w:rFonts w:hint="eastAsia"/>
          <w:sz w:val="22"/>
        </w:rPr>
        <w:t>upport</w:t>
      </w:r>
      <w:r>
        <w:rPr>
          <w:sz w:val="22"/>
        </w:rPr>
        <w:t xml:space="preserve"> live face detection algorithm, i</w:t>
      </w:r>
      <w:r w:rsidRPr="007A6D9B">
        <w:rPr>
          <w:sz w:val="22"/>
        </w:rPr>
        <w:t>mprove the ability to prevent fake photo authentication</w:t>
      </w:r>
      <w:proofErr w:type="gramStart"/>
      <w:r w:rsidRPr="007A6D9B">
        <w:rPr>
          <w:sz w:val="22"/>
        </w:rPr>
        <w:t>.</w:t>
      </w:r>
      <w:r w:rsidRPr="00823EF0">
        <w:rPr>
          <w:sz w:val="22"/>
        </w:rPr>
        <w:t>;</w:t>
      </w:r>
      <w:proofErr w:type="gramEnd"/>
    </w:p>
    <w:p w:rsidR="00353B13" w:rsidRDefault="00353B13" w:rsidP="00353B13">
      <w:pPr>
        <w:pStyle w:val="a9"/>
        <w:numPr>
          <w:ilvl w:val="0"/>
          <w:numId w:val="5"/>
        </w:numPr>
        <w:ind w:firstLineChars="0"/>
        <w:rPr>
          <w:sz w:val="22"/>
        </w:rPr>
      </w:pPr>
      <w:r>
        <w:rPr>
          <w:sz w:val="22"/>
        </w:rPr>
        <w:t>Upload offline device events automatically to client software.</w:t>
      </w:r>
    </w:p>
    <w:p w:rsidR="00DA7ABF" w:rsidRPr="00353B13" w:rsidRDefault="00353B13" w:rsidP="005735B4">
      <w:pPr>
        <w:pStyle w:val="a9"/>
        <w:numPr>
          <w:ilvl w:val="0"/>
          <w:numId w:val="5"/>
        </w:numPr>
        <w:ind w:firstLineChars="0"/>
        <w:rPr>
          <w:sz w:val="22"/>
        </w:rPr>
      </w:pPr>
      <w:r>
        <w:rPr>
          <w:sz w:val="22"/>
        </w:rPr>
        <w:t>Abundant event link</w:t>
      </w:r>
      <w:r>
        <w:rPr>
          <w:sz w:val="22"/>
        </w:rPr>
        <w:t>age setting on client software.</w:t>
      </w:r>
    </w:p>
    <w:p w:rsidR="00BF0D0D" w:rsidRDefault="00BF0D0D" w:rsidP="005735B4">
      <w:pPr>
        <w:rPr>
          <w:rFonts w:hint="eastAsia"/>
          <w:sz w:val="22"/>
        </w:rPr>
      </w:pPr>
    </w:p>
    <w:p w:rsidR="00BF0D0D" w:rsidRPr="00353B13" w:rsidRDefault="00BF0D0D" w:rsidP="005735B4">
      <w:pPr>
        <w:rPr>
          <w:rFonts w:hint="eastAsia"/>
          <w:sz w:val="22"/>
        </w:rPr>
      </w:pPr>
      <w:bookmarkStart w:id="0" w:name="_GoBack"/>
      <w:bookmarkEnd w:id="0"/>
    </w:p>
    <w:p w:rsidR="00994C1C" w:rsidRDefault="00BF0D0D" w:rsidP="00CD0887">
      <w:pPr>
        <w:pStyle w:val="a9"/>
        <w:numPr>
          <w:ilvl w:val="0"/>
          <w:numId w:val="5"/>
        </w:numPr>
        <w:ind w:firstLineChars="0"/>
        <w:rPr>
          <w:sz w:val="22"/>
        </w:rPr>
      </w:pPr>
      <w:r>
        <w:rPr>
          <w:sz w:val="22"/>
        </w:rPr>
        <w:lastRenderedPageBreak/>
        <w:t>A</w:t>
      </w:r>
      <w:r w:rsidR="00CD0887" w:rsidRPr="00CD0887">
        <w:rPr>
          <w:sz w:val="22"/>
        </w:rPr>
        <w:t xml:space="preserve">ctivation interface </w:t>
      </w:r>
      <w:r w:rsidR="00C7307C">
        <w:rPr>
          <w:sz w:val="22"/>
        </w:rPr>
        <w:t>to select</w:t>
      </w:r>
      <w:r w:rsidR="00CD0887" w:rsidRPr="00CD0887">
        <w:rPr>
          <w:sz w:val="22"/>
        </w:rPr>
        <w:t xml:space="preserve"> devi</w:t>
      </w:r>
      <w:r w:rsidR="00C7307C">
        <w:rPr>
          <w:sz w:val="22"/>
        </w:rPr>
        <w:t xml:space="preserve">ce </w:t>
      </w:r>
      <w:r w:rsidR="007A6D9B">
        <w:rPr>
          <w:sz w:val="22"/>
        </w:rPr>
        <w:t>working</w:t>
      </w:r>
      <w:r w:rsidR="00C7307C">
        <w:rPr>
          <w:sz w:val="22"/>
        </w:rPr>
        <w:t xml:space="preserve"> environment,</w:t>
      </w:r>
      <w:r w:rsidR="00CD0887" w:rsidRPr="00CD0887">
        <w:rPr>
          <w:sz w:val="22"/>
        </w:rPr>
        <w:t xml:space="preserve"> user</w:t>
      </w:r>
      <w:r w:rsidR="00C7307C">
        <w:rPr>
          <w:sz w:val="22"/>
        </w:rPr>
        <w:t>s can</w:t>
      </w:r>
      <w:r w:rsidR="00CD0887" w:rsidRPr="00CD0887">
        <w:rPr>
          <w:sz w:val="22"/>
        </w:rPr>
        <w:t xml:space="preserve"> choose Indoor or other</w:t>
      </w:r>
      <w:r w:rsidR="007A6D9B">
        <w:rPr>
          <w:sz w:val="22"/>
        </w:rPr>
        <w:t>s</w:t>
      </w:r>
      <w:r w:rsidR="00CD0887" w:rsidRPr="00CD0887">
        <w:rPr>
          <w:sz w:val="22"/>
        </w:rPr>
        <w:t xml:space="preserve"> mode</w:t>
      </w:r>
      <w:r w:rsidR="007A6D9B">
        <w:rPr>
          <w:sz w:val="22"/>
        </w:rPr>
        <w:t>;</w:t>
      </w:r>
    </w:p>
    <w:p w:rsidR="00C7307C" w:rsidRPr="00C7307C" w:rsidRDefault="007A6D9B" w:rsidP="00C7307C">
      <w:pPr>
        <w:rPr>
          <w:sz w:val="22"/>
        </w:rPr>
      </w:pPr>
      <w:r>
        <w:rPr>
          <w:noProof/>
        </w:rPr>
        <w:drawing>
          <wp:inline distT="0" distB="0" distL="0" distR="0" wp14:anchorId="6F966A37" wp14:editId="55721E3E">
            <wp:extent cx="4535211" cy="2714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52641" cy="2725058"/>
                    </a:xfrm>
                    <a:prstGeom prst="rect">
                      <a:avLst/>
                    </a:prstGeom>
                  </pic:spPr>
                </pic:pic>
              </a:graphicData>
            </a:graphic>
          </wp:inline>
        </w:drawing>
      </w:r>
    </w:p>
    <w:p w:rsidR="00BF0D0D" w:rsidRDefault="00BF0D0D" w:rsidP="00BF0D0D">
      <w:pPr>
        <w:pStyle w:val="a9"/>
        <w:numPr>
          <w:ilvl w:val="0"/>
          <w:numId w:val="5"/>
        </w:numPr>
        <w:ind w:firstLineChars="0"/>
        <w:rPr>
          <w:sz w:val="22"/>
        </w:rPr>
      </w:pPr>
      <w:r>
        <w:rPr>
          <w:sz w:val="22"/>
        </w:rPr>
        <w:t>Face picture</w:t>
      </w:r>
      <w:r w:rsidR="008E7C30">
        <w:rPr>
          <w:sz w:val="22"/>
        </w:rPr>
        <w:t>s</w:t>
      </w:r>
      <w:r>
        <w:rPr>
          <w:sz w:val="22"/>
        </w:rPr>
        <w:t xml:space="preserve"> and fingerprint data can be </w:t>
      </w:r>
      <w:r w:rsidR="008E7C30">
        <w:rPr>
          <w:sz w:val="22"/>
        </w:rPr>
        <w:t>applied</w:t>
      </w:r>
      <w:r>
        <w:rPr>
          <w:sz w:val="22"/>
        </w:rPr>
        <w:t xml:space="preserve"> to the device via TCP/IP or uploaded to the device via USB flash drive.</w:t>
      </w:r>
    </w:p>
    <w:p w:rsidR="00BF0D0D" w:rsidRPr="00BF0D0D" w:rsidRDefault="00BF0D0D" w:rsidP="00BF0D0D">
      <w:pPr>
        <w:rPr>
          <w:rFonts w:hint="eastAsia"/>
          <w:sz w:val="22"/>
        </w:rPr>
      </w:pPr>
      <w:r>
        <w:rPr>
          <w:noProof/>
        </w:rPr>
        <w:drawing>
          <wp:inline distT="0" distB="0" distL="0" distR="0" wp14:anchorId="3679F076" wp14:editId="5668CB70">
            <wp:extent cx="2933700" cy="3558540"/>
            <wp:effectExtent l="0" t="0" r="0" b="381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stretch>
                      <a:fillRect/>
                    </a:stretch>
                  </pic:blipFill>
                  <pic:spPr>
                    <a:xfrm>
                      <a:off x="0" y="0"/>
                      <a:ext cx="2933700" cy="3558540"/>
                    </a:xfrm>
                    <a:prstGeom prst="rect">
                      <a:avLst/>
                    </a:prstGeom>
                  </pic:spPr>
                </pic:pic>
              </a:graphicData>
            </a:graphic>
          </wp:inline>
        </w:drawing>
      </w:r>
    </w:p>
    <w:p w:rsidR="002D6F13" w:rsidRPr="00BF0D0D" w:rsidRDefault="002D6F13" w:rsidP="007347B3">
      <w:pPr>
        <w:rPr>
          <w:sz w:val="22"/>
        </w:rPr>
      </w:pPr>
    </w:p>
    <w:p w:rsidR="002D6F13" w:rsidRPr="002D6F13" w:rsidRDefault="002D6F13" w:rsidP="007347B3">
      <w:pPr>
        <w:rPr>
          <w:sz w:val="22"/>
        </w:rPr>
      </w:pPr>
    </w:p>
    <w:p w:rsidR="007716A0" w:rsidRPr="00823EF0" w:rsidRDefault="007716A0" w:rsidP="007716A0">
      <w:bookmarkStart w:id="1" w:name="OLE_LINK1"/>
      <w:bookmarkStart w:id="2" w:name="OLE_LINK2"/>
      <w:r w:rsidRPr="00823EF0">
        <w:rPr>
          <w:b/>
          <w:sz w:val="24"/>
          <w:szCs w:val="24"/>
          <w:u w:val="single"/>
        </w:rPr>
        <w:t>Customer Impact and Recommended Action</w:t>
      </w:r>
    </w:p>
    <w:bookmarkEnd w:id="1"/>
    <w:bookmarkEnd w:id="2"/>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w:lastRenderedPageBreak/>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13"/>
      <w:headerReference w:type="default" r:id="rId14"/>
      <w:footerReference w:type="even" r:id="rId15"/>
      <w:footerReference w:type="default" r:id="rId16"/>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BE" w:rsidRDefault="00CB7DBE" w:rsidP="007716A0">
      <w:r>
        <w:separator/>
      </w:r>
    </w:p>
  </w:endnote>
  <w:endnote w:type="continuationSeparator" w:id="0">
    <w:p w:rsidR="00CB7DBE" w:rsidRDefault="00CB7DBE"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EFC" w:rsidRDefault="00CB7DB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353B13" w:rsidRPr="00353B13">
      <w:rPr>
        <w:noProof/>
        <w:sz w:val="22"/>
        <w:szCs w:val="22"/>
        <w:lang w:val="zh-CN"/>
      </w:rPr>
      <w:t>3</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BE" w:rsidRDefault="00CB7DBE" w:rsidP="007716A0">
      <w:r>
        <w:separator/>
      </w:r>
    </w:p>
  </w:footnote>
  <w:footnote w:type="continuationSeparator" w:id="0">
    <w:p w:rsidR="00CB7DBE" w:rsidRDefault="00CB7DBE" w:rsidP="0077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A3" w:rsidRDefault="006A1959">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CB7DBE"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54364"/>
    <w:rsid w:val="00055034"/>
    <w:rsid w:val="00076028"/>
    <w:rsid w:val="000C7461"/>
    <w:rsid w:val="00100C76"/>
    <w:rsid w:val="00102CAD"/>
    <w:rsid w:val="00133AA7"/>
    <w:rsid w:val="00143E9F"/>
    <w:rsid w:val="00173F88"/>
    <w:rsid w:val="001A6CA8"/>
    <w:rsid w:val="002358F2"/>
    <w:rsid w:val="00263066"/>
    <w:rsid w:val="00293A71"/>
    <w:rsid w:val="002D3A88"/>
    <w:rsid w:val="002D6F13"/>
    <w:rsid w:val="003017E6"/>
    <w:rsid w:val="00353B13"/>
    <w:rsid w:val="00412DB9"/>
    <w:rsid w:val="0041533C"/>
    <w:rsid w:val="00473049"/>
    <w:rsid w:val="00485872"/>
    <w:rsid w:val="00487773"/>
    <w:rsid w:val="004B0DE7"/>
    <w:rsid w:val="004F323B"/>
    <w:rsid w:val="004F4B13"/>
    <w:rsid w:val="00503FE0"/>
    <w:rsid w:val="00563EC1"/>
    <w:rsid w:val="005735B4"/>
    <w:rsid w:val="005A35B9"/>
    <w:rsid w:val="00612603"/>
    <w:rsid w:val="0062460B"/>
    <w:rsid w:val="0067304A"/>
    <w:rsid w:val="006A1959"/>
    <w:rsid w:val="006B2319"/>
    <w:rsid w:val="006B698A"/>
    <w:rsid w:val="006D559D"/>
    <w:rsid w:val="006E555B"/>
    <w:rsid w:val="0072121B"/>
    <w:rsid w:val="007347B3"/>
    <w:rsid w:val="00742FA5"/>
    <w:rsid w:val="007716A0"/>
    <w:rsid w:val="00775E49"/>
    <w:rsid w:val="0077600F"/>
    <w:rsid w:val="00785FBA"/>
    <w:rsid w:val="007A6D9B"/>
    <w:rsid w:val="007B4FD4"/>
    <w:rsid w:val="007D603B"/>
    <w:rsid w:val="007F0B95"/>
    <w:rsid w:val="00820D85"/>
    <w:rsid w:val="00823EF0"/>
    <w:rsid w:val="00824D4C"/>
    <w:rsid w:val="00882C12"/>
    <w:rsid w:val="008E7C30"/>
    <w:rsid w:val="00905B87"/>
    <w:rsid w:val="00927746"/>
    <w:rsid w:val="009570D9"/>
    <w:rsid w:val="00994C1C"/>
    <w:rsid w:val="009A1763"/>
    <w:rsid w:val="009B59CA"/>
    <w:rsid w:val="009D59B0"/>
    <w:rsid w:val="00A026F4"/>
    <w:rsid w:val="00A43395"/>
    <w:rsid w:val="00AA2C84"/>
    <w:rsid w:val="00AF0435"/>
    <w:rsid w:val="00B55394"/>
    <w:rsid w:val="00BF0D0D"/>
    <w:rsid w:val="00C27894"/>
    <w:rsid w:val="00C657DB"/>
    <w:rsid w:val="00C723E5"/>
    <w:rsid w:val="00C7307C"/>
    <w:rsid w:val="00C86EA7"/>
    <w:rsid w:val="00C87F87"/>
    <w:rsid w:val="00C90F82"/>
    <w:rsid w:val="00CB1DFB"/>
    <w:rsid w:val="00CB7DBE"/>
    <w:rsid w:val="00CC4194"/>
    <w:rsid w:val="00CD0887"/>
    <w:rsid w:val="00D32027"/>
    <w:rsid w:val="00D449D8"/>
    <w:rsid w:val="00D83366"/>
    <w:rsid w:val="00DA7ABF"/>
    <w:rsid w:val="00DD5E66"/>
    <w:rsid w:val="00E21921"/>
    <w:rsid w:val="00E429AB"/>
    <w:rsid w:val="00E74415"/>
    <w:rsid w:val="00EB60E7"/>
    <w:rsid w:val="00EB635E"/>
    <w:rsid w:val="00EC3C48"/>
    <w:rsid w:val="00ED4857"/>
    <w:rsid w:val="00EF4089"/>
    <w:rsid w:val="00F11E90"/>
    <w:rsid w:val="00F23AC8"/>
    <w:rsid w:val="00F53E91"/>
    <w:rsid w:val="00F63B85"/>
    <w:rsid w:val="00F71A8D"/>
    <w:rsid w:val="00F82F61"/>
    <w:rsid w:val="00F92315"/>
    <w:rsid w:val="00F95BE7"/>
    <w:rsid w:val="00FB474E"/>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C1660"/>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232</Words>
  <Characters>1329</Characters>
  <Application>Microsoft Office Word</Application>
  <DocSecurity>0</DocSecurity>
  <Lines>11</Lines>
  <Paragraphs>3</Paragraphs>
  <ScaleCrop>false</ScaleCrop>
  <Company>Microsoft</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王荣峰</cp:lastModifiedBy>
  <cp:revision>30</cp:revision>
  <dcterms:created xsi:type="dcterms:W3CDTF">2018-09-18T14:25:00Z</dcterms:created>
  <dcterms:modified xsi:type="dcterms:W3CDTF">2018-11-23T01:59:00Z</dcterms:modified>
</cp:coreProperties>
</file>